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Охранные зоны объектов электросетевого хозяйства в ЕГРН.</w:t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необходимо знать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определения возможности использования земли для строительства дома, здания или иного сооружения одной из важных составляющих является информация о зонах с особыми условиями использования территорий и об охранных зонах объектов электросетевого хозяйства в частности.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Охранная зона объекта электросетевого хозяйства - это зона безопасной эксплуатации, сохранности и надежности работы электрических сетей, их эксплуатации и исключения возможности повреждения линий электропередачи и иных объектов электросетевого хозяйства, а также предотвращения несчастных случаев от воздействия электрического тока.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настоящий момент в Едином государственном реестре недвижимости (ЕГРН) содержатся сведения более чем о 46700 охранных зонах объектов электросетевого хозяйства, расположенных на территории Краснодарского края.  Информация о них отображается на </w:t>
      </w:r>
      <w:hyperlink r:id="rId8" w:anchor="/search/65.64951699999888,122.73014399999792/4/@5w3tqxnc7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Публичной кадастровой карте</w:t>
        </w:r>
      </w:hyperlink>
      <w:r>
        <w:rPr>
          <w:rFonts w:ascii="Times New Roman" w:hAnsi="Times New Roman" w:cs="Times New Roman"/>
          <w:bCs/>
          <w:sz w:val="28"/>
        </w:rPr>
        <w:t xml:space="preserve"> на </w:t>
      </w:r>
      <w:hyperlink r:id="rId9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сайте Росреестра</w:t>
        </w:r>
      </w:hyperlink>
      <w:r>
        <w:rPr>
          <w:rFonts w:ascii="Times New Roman" w:hAnsi="Times New Roman" w:cs="Times New Roman"/>
          <w:bCs/>
          <w:sz w:val="28"/>
        </w:rPr>
        <w:t>. Однако необходимо понимать, что процесс внесения таких сведений в ЕГРН происходит регулярно и существует еще большое количество объектов электросетевого хозяйства, в отношении которых границы охранных зон еще только предстоит внести. Поэтому приобретая земельный участок, рекомендуем наряду с использованием сведений ЕГРН проводить визуальную проверку территории на предмет наличия на ней объектов электросетевого хозяйства.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Провести визуальную проверку можно на Публичной кадастровой карте, где существует онлайн-сервис </w:t>
      </w:r>
      <w:hyperlink r:id="rId10" w:anchor="/building/65.64951699999888,122.73014399999792/4/@5w3tqxnc7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«Земля для стройки»</w:t>
        </w:r>
      </w:hyperlink>
      <w:r>
        <w:rPr>
          <w:rFonts w:ascii="Times New Roman" w:hAnsi="Times New Roman" w:cs="Times New Roman"/>
          <w:bCs/>
          <w:sz w:val="28"/>
        </w:rPr>
        <w:t xml:space="preserve">, запущенный Росреестром. С помощью карты в режиме онлайн любой желающий (инвестор, застройщик или </w:t>
      </w:r>
      <w:r>
        <w:rPr>
          <w:rFonts w:ascii="Times New Roman" w:hAnsi="Times New Roman" w:cs="Times New Roman"/>
          <w:bCs/>
          <w:sz w:val="28"/>
        </w:rPr>
        <w:lastRenderedPageBreak/>
        <w:t xml:space="preserve">гражданин) может выбрать понравившийся участок и проверить его на пригодность для жилищного строительства. Данный сервис позволяет упростить процедуру по поиску участков пригодных для строительства без ограничений и обременений.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Порядок установления охранных зон объектов электросетевого хозяйства и использование территорий, находящихся в охранных зонах объектов электросетевого хозяйства, регулируется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РФ от 24.02.2009 N 160. Охранные зоны устанавливаются для всех объектов электросетевого хозяйства исходя из требований к границам установления охранных зон. Границы охранной зоны в отношении отдельного объекта электросетевого хозяйства определяются организацией, которая владеет им на праве собственности или ином законном основании.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 xml:space="preserve">«Земельные участки в пределах охранных зон у собственников, землевладельцев, землепользователей или арендаторов не изымаются, но важно понимать, что права владельца земельного участка, попадающего в границы такой охранной зоны, могут быть существенно ограничены. Нередко бывает, что такие зоны превращают хорошие земельные участки в бесполезные клочки земли. Поэтому задумываясь о приобретении земельного участка необходимо тщательно собрать максимально полную информацию о нем», - </w:t>
      </w:r>
      <w:r>
        <w:rPr>
          <w:rFonts w:ascii="Times New Roman" w:hAnsi="Times New Roman" w:cs="Times New Roman"/>
          <w:b/>
          <w:bCs/>
          <w:sz w:val="28"/>
        </w:rPr>
        <w:t>отмечает начальник</w:t>
      </w:r>
      <w:r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отдела инфраструктуры пространственных данных Кадастровой палаты по Краснодарскому краю Дмитрий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Тонхоноев</w:t>
      </w:r>
      <w:bookmarkStart w:id="0" w:name="_GoBack"/>
      <w:bookmarkEnd w:id="0"/>
      <w:proofErr w:type="spellEnd"/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6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pkk.rosree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site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19</cp:revision>
  <dcterms:created xsi:type="dcterms:W3CDTF">2021-07-30T12:29:00Z</dcterms:created>
  <dcterms:modified xsi:type="dcterms:W3CDTF">2021-08-02T09:53:00Z</dcterms:modified>
</cp:coreProperties>
</file>