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21A" w:rsidRPr="0090121A" w:rsidRDefault="0090121A" w:rsidP="0090121A">
      <w:pPr>
        <w:shd w:val="clear" w:color="auto" w:fill="FFFFFF"/>
        <w:spacing w:after="84" w:line="240" w:lineRule="auto"/>
        <w:ind w:right="240"/>
        <w:outlineLvl w:val="1"/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</w:pPr>
      <w:bookmarkStart w:id="0" w:name="_GoBack"/>
      <w:bookmarkEnd w:id="0"/>
      <w:r w:rsidRPr="0090121A">
        <w:rPr>
          <w:rFonts w:ascii="Arial" w:eastAsia="Times New Roman" w:hAnsi="Arial" w:cs="Arial"/>
          <w:b/>
          <w:bCs/>
          <w:color w:val="000000"/>
          <w:spacing w:val="3"/>
          <w:sz w:val="24"/>
          <w:szCs w:val="24"/>
          <w:lang w:eastAsia="ru-RU"/>
        </w:rPr>
        <w:t>Что изменилось в общих требованиях к сохранению водных биоресурсов?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Приказом Минсельхоза России от 29 ноября 2017 года № 596 (зарегистрирован Минюстом России 27 декабря 2017 года под регистрационным номером 49488) внесены изменения в Правила рыболовства для Азово-Черноморского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рыбохозяйственного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бассейна, вступившие в силу 08 января 2018 года.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Изменения достаточно существенны и требуют дополнительного разъяснения как в части общих требований Правил, так и в части, регулирующей вопросы любительского и спортивного рыболовства, а также промышленного рыболовства в разных районах Азово-Черноморского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рыбохозяйственного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бассейна.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Первое изменение внесено в пункт 10.1 Правил рыболовства и касается осуществления гражданами любительского и спортивного рыболовства: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«10.1. граждане вправе осуществлять любительское и спортивное рыболовство на водных объектах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рыбохозяйственного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значения общего пользования свободно и бесплатно в соответствии с Правилами рыболовства. </w:t>
      </w:r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 xml:space="preserve">Указанным гражданам запрещается осуществлять любительское и спортивное рыболовство объектов </w:t>
      </w:r>
      <w:proofErr w:type="spellStart"/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>аквакультуры</w:t>
      </w:r>
      <w:proofErr w:type="spellEnd"/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 xml:space="preserve"> в границах рыбоводных участков без согласия рыбоводных хозяйств — пользователей рыбоводных участков и вне мест, указанных пользователями рыбоводными участками, обозначенных соответствующими аншлагами</w:t>
      </w: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».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noProof/>
          <w:color w:val="007901"/>
          <w:spacing w:val="3"/>
          <w:sz w:val="26"/>
          <w:szCs w:val="26"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http://rosng.ru/sites/default/files/styles/1200x500/public/teg_akvakultura.jpg?itok=X29EHdfJ">
                  <a:hlinkClick xmlns:a="http://schemas.openxmlformats.org/drawingml/2006/main" r:id="rId4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E1A5A6" id="Прямоугольник 2" o:spid="_x0000_s1026" alt="http://rosng.ru/sites/default/files/styles/1200x500/public/teg_akvakultura.jpg?itok=X29EHdfJ" href="http://rosng.ru/tags/akvakultur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Указанная норма ограничений и упорядочивания любительского рыболовства на акватории рыбоводных участков направлена на ликвидацию возможности возникновения социального напряжения и конфликтных ситуаций между пользователями рыбоводных участков, которые осуществили зарыбление рыбоводных участков рыбопосадочным материалом и выращивают объекты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аквакультуры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, и рыболовами-любителями, которые могли вылавливать объекты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аквакультуры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(собственность рыбоводных хозяйств, т.е. чужую собственность) под предлогом декларируемого свободного и бесплатного любительского рыболовства, совершая тем самым легально хищение чужого имущества. Такие конфликты возникали повсеместно на территориях субъектов Российской Федерации в Азово-Черноморском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рыбохозяйственном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бассейне, пока ФГБНУ «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АзНИИРХ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» не разработал соответствующее предложение об уточнении Правил рыболовства (принято и Приказом Минсельхоза России от 09.06.2015 № 234, уточнено Приказом Минсельхоза России от 29.11.2017 № 596). Благодаря принятым решениям Минсельхоза России уровень конфликтности между товарным рыбоводством (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аквакультурой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) и любительским рыболовством снизился до исчезающе низкого.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lastRenderedPageBreak/>
        <w:t>Следующее изменение внесено в абзацы восьмой и девятый пункта 13.2 Правил рыболовства и уточняет, что </w:t>
      </w:r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>запретное для промышленного или любительского рыболовства пространство в водных объектах, на которых функционируют рыбоводные организации, осуществляющие искусственное воспроизводство водных биоресурсов, их цеха и пункты, размещены садки для выращивания и выдерживания рыбы, составляет 500 м в любую сторону от соответствующего объекта рыбоводного хозяйства.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В предыдущей редакции такое ограничение действовало в отношении любых рыбоводных хозяйств, в том числе осуществляющих товарную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аквакультуру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(рыбоводство), что не было достаточно обоснованным, и по мере развития товарных хозяйств и увеличения количества рыбоводных участков создавало все более серьезные ущемления прав юридических лиц, индивидуальных предпринимателей и граждан, которые осуществляют добычу (вылов) водных биоресурсов.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Теперь ограничения и запреты рыболовства в 500-метровой буферной зоне рыбоводных хозяйств сохранены только для хозяйств, осуществляющих искусственное воспроизводство водных биоресурсов, в том числе осетровых рыбоводных заводов и нерестово-выростных хозяйств.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В то же время Правилами рыболовства вводятся новые защитные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противоконфликтные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меры в отношении хозяйств товарной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аквакультуры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и пользователей рыбоводных участков. Так, </w:t>
      </w:r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 xml:space="preserve">юридическим лицам, индивидуальным предпринимателям и гражданам запрещается осуществлять добычу (вылов) водных биоресурсов в границах рыбоводных участков, предоставленных для осуществления товарной </w:t>
      </w:r>
      <w:proofErr w:type="spellStart"/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>аквакультуры</w:t>
      </w:r>
      <w:proofErr w:type="spellEnd"/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 xml:space="preserve"> (товарного рыбоводства).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Исключение сделано только для одного случая, а именно – для добычи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рапаны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на рыбоводных участках, предоставленных для выращивания мидий, устриц и/или других двухстворчатых моллюсков. В этом случае добыча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рапаны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на указанных рыбоводных участках осуществляется с согласия пользователей рыбоводных участков.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Также достаточно важное уточнение внесено в абзац второй пункта 13.3 Правил рыболовства. Теперь при осуществлении промышленного рыболовства с использованием судов в море для улова массовых мелких рыб Азовского или Черного морей (хамса, шпрот (килька), тюлька, ставрида,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атерина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и бычки), как правило, транспортируемых так называемым «наливом» или «навалом» с примесью воды и для предотвращения порчи присыпаемых солью или льдом, увеличена величина допускаемого отклонения массы (веса) улова добытых водных биоресурсов при его уточнении в момент выгрузки и взвешивания на берегу от предварительно указанного в море после завершения каждой операции по добыче, с 5 % до 10 % в ту или иную сторону. Эта мера </w:t>
      </w: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lastRenderedPageBreak/>
        <w:t>позволит значительно сократить возможности привлечения рыбаков к административной ответственности за расхождение показателей предварительного и окончательного веса в границах 5 % (обусловленных не зависящими от рыбаков обстоятельствами), но в то же время не позволит пользователям манипулировать уловом в промежутке между предварительной и окончательной оценками улова.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Вообще, рыболовство мелких массовых видов рыб в южных Азовском и Черном морях имеет ряд особенностей, которые следует адекватно отразить в Правилах рыболовства. А поскольку уловы этих рыб (хамса, шпрот (килька), тюлька, ставрида, 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атерина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 xml:space="preserve"> и бычки) дают более 95 % от общего улова всех рыб в указанных морях, такая выстроенная адекватность Правил рыболовства имеет крайне важное значение, которое трудно переоценить.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Одной из таких важных мер является максимально рациональное использование имеющихся водных биологических ресурсов, предотвращение выбросов водных биоресурсов, их сброса за борт судна при осуществлении рыболовства. Ведь в улове эти виды зачастую присутствуют в смешанном виде, а разобрать улов отдельно по видам водных биоресурсов или по размеру рыб в море не представляется возможным. А что, если в улове превышена доля нецелевого мелкого вида выше 49 % по весу? Или несколько превышен допустимый прилов молоди? Что, смывать весь улов за борт или сепарировать улов и выбрасывать мелкую рыбу? Зачастую так и делалось до последнего времени. Но ведь из тралового улова в несколько тонн рыбы выпустить мелких рыбешек в живом и неповрежденном виде в море невозможно, они погибают. А почему их нельзя заморозить и использовать, например, на консервы или на зверофермы? Зачем выбрасывать уже добытое и погубленное?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Именно для сокращения непроизводительных выбросов и потери водных биоресурсов внесены изменения в пункт 13.4.4. Правил рыболовства.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Так, Правилами рыболовства предписано в случае добычи запрещенных видов водных биоресурсов, превышения прилова водных биоресурсов, не достигших минимального промыслового размера, превышения разрешенного прилова водных биоресурсов, общий допустимый улов которых не устанавливается и для которых Правилами рыболовства установлен промысловый размер, выпустить их в естественную среду обитания с наименьшими повреждениями, независимо от их состояния.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Теперь</w:t>
      </w:r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 xml:space="preserve"> для хамсы, тюльки, шпрота (кильки), ставриды, </w:t>
      </w:r>
      <w:proofErr w:type="spellStart"/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>атерины</w:t>
      </w:r>
      <w:proofErr w:type="spellEnd"/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t xml:space="preserve">, бычков в смешанных уловах разноглубинных тралов, кошельковых неводов или драг Правилами рыболовства предписывается, что их улов должен быть оприходован. Соответственно, выбросы этих видов водных биоресурсов при </w:t>
      </w:r>
      <w:r w:rsidRPr="0090121A">
        <w:rPr>
          <w:rFonts w:ascii="Arial" w:eastAsia="Times New Roman" w:hAnsi="Arial" w:cs="Arial"/>
          <w:b/>
          <w:bCs/>
          <w:color w:val="000000"/>
          <w:spacing w:val="3"/>
          <w:sz w:val="26"/>
          <w:szCs w:val="26"/>
          <w:lang w:eastAsia="ru-RU"/>
        </w:rPr>
        <w:lastRenderedPageBreak/>
        <w:t>осуществлении промышленного рыболовства отныне полностью запрещены.</w:t>
      </w:r>
    </w:p>
    <w:p w:rsidR="0090121A" w:rsidRPr="0090121A" w:rsidRDefault="0090121A" w:rsidP="0090121A">
      <w:pPr>
        <w:shd w:val="clear" w:color="auto" w:fill="FFFFFF"/>
        <w:spacing w:after="240" w:line="240" w:lineRule="auto"/>
        <w:ind w:right="240"/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</w:pPr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Новые изменения в Правилах рыболовства, по мнению ФГБНУ «</w:t>
      </w:r>
      <w:proofErr w:type="spellStart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АзНИИРХ</w:t>
      </w:r>
      <w:proofErr w:type="spellEnd"/>
      <w:r w:rsidRPr="0090121A">
        <w:rPr>
          <w:rFonts w:ascii="Arial" w:eastAsia="Times New Roman" w:hAnsi="Arial" w:cs="Arial"/>
          <w:color w:val="000000"/>
          <w:spacing w:val="3"/>
          <w:sz w:val="26"/>
          <w:szCs w:val="26"/>
          <w:lang w:eastAsia="ru-RU"/>
        </w:rPr>
        <w:t>», позволят снизить возможность возникновения социального напряжения и конфликтных ситуаций и более рационально и бережно использовать запасы водных биоресурсов в Азовском и Черном морях.</w:t>
      </w:r>
    </w:p>
    <w:p w:rsidR="00F32217" w:rsidRDefault="00F32217"/>
    <w:sectPr w:rsidR="00F32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21A"/>
    <w:rsid w:val="0090121A"/>
    <w:rsid w:val="00F32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E5C8A-DB48-4074-BE20-AA4D09322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012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0121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12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0121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90121A"/>
    <w:rPr>
      <w:b/>
      <w:bCs/>
    </w:rPr>
  </w:style>
  <w:style w:type="paragraph" w:styleId="a4">
    <w:name w:val="Normal (Web)"/>
    <w:basedOn w:val="a"/>
    <w:uiPriority w:val="99"/>
    <w:semiHidden/>
    <w:unhideWhenUsed/>
    <w:rsid w:val="009012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0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sng.ru/tags/akvakultur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1171</Words>
  <Characters>6680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2020-03-03T11:23:00Z</dcterms:created>
  <dcterms:modified xsi:type="dcterms:W3CDTF">2020-03-03T11:29:00Z</dcterms:modified>
</cp:coreProperties>
</file>