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B6F" w:rsidRDefault="000052B3" w:rsidP="000052B3">
      <w:pPr>
        <w:jc w:val="both"/>
      </w:pPr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 xml:space="preserve">В соответствии с приказом Министерства сельского хозяйства Российской Федерации от 1 августа 2013 г. № 293 «Об утверждении правил рыболовства для Азово-Черноморского </w:t>
      </w:r>
      <w:proofErr w:type="spellStart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>рыбохозяйственного</w:t>
      </w:r>
      <w:proofErr w:type="spellEnd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 xml:space="preserve"> бассейна» на территории Краснодарского края действуют ограничения добычи (вылова) отдельных видов водных биологических ресурсов (в </w:t>
      </w:r>
      <w:proofErr w:type="spellStart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>т.ч</w:t>
      </w:r>
      <w:proofErr w:type="spellEnd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>рыба ,</w:t>
      </w:r>
      <w:proofErr w:type="gramEnd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 xml:space="preserve"> раки). С ц</w:t>
      </w:r>
      <w:bookmarkStart w:id="0" w:name="_GoBack"/>
      <w:bookmarkEnd w:id="0"/>
      <w:r>
        <w:rPr>
          <w:rFonts w:ascii="Arial" w:hAnsi="Arial" w:cs="Arial"/>
          <w:color w:val="4B4B4B"/>
          <w:sz w:val="27"/>
          <w:szCs w:val="27"/>
          <w:shd w:val="clear" w:color="auto" w:fill="FFFFFF"/>
        </w:rPr>
        <w:t>елью пресечения сбыта и недопустимости реализации незаконно добытых водных биологических ресурсов, рекомендуем руководителям объектов розничной торговой сети и объектов общественного питания, усилить контроль за качеством и легальностью происхождения рыбы и рыбопродуктов (раков) поставляемых в подведомственные объекты. </w:t>
      </w:r>
    </w:p>
    <w:sectPr w:rsidR="00DB7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B3"/>
    <w:rsid w:val="000052B3"/>
    <w:rsid w:val="00DB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91E72-97C6-4748-A045-5586EAC5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2019-01-09T12:07:00Z</dcterms:created>
  <dcterms:modified xsi:type="dcterms:W3CDTF">2019-01-09T12:08:00Z</dcterms:modified>
</cp:coreProperties>
</file>