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4595" w:type="dxa"/>
        <w:jc w:val="left"/>
        <w:tblInd w:w="5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034"/>
        <w:gridCol w:w="7560"/>
      </w:tblGrid>
      <w:tr>
        <w:trPr>
          <w:tblHeader w:val="true"/>
          <w:trHeight w:val="1695" w:hRule="atLeast"/>
        </w:trPr>
        <w:tc>
          <w:tcPr>
            <w:tcW w:w="7034" w:type="dxa"/>
            <w:tcBorders/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756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Приложение №1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 муниципальной программе</w:t>
            </w:r>
          </w:p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муниципального образования Северский район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«Управление муниципальными финансами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Таблица 1</w:t>
      </w:r>
    </w:p>
    <w:p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309"/>
      <w:bookmarkEnd w:id="0"/>
      <w:r>
        <w:rPr>
          <w:rFonts w:cs="Times New Roman" w:ascii="Times New Roman" w:hAnsi="Times New Roman"/>
          <w:sz w:val="28"/>
          <w:szCs w:val="28"/>
        </w:rPr>
        <w:t>Сведения</w:t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 показателях (индикаторах) муниципальной программы</w:t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муниципального образования Северский район</w:t>
      </w:r>
    </w:p>
    <w:p>
      <w:pPr>
        <w:pStyle w:val="ConsPlusNormal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 xml:space="preserve">"Управление муниципальными финансами" </w:t>
      </w:r>
      <w:r>
        <w:rPr>
          <w:rFonts w:cs="Times New Roman" w:ascii="Times New Roman" w:hAnsi="Times New Roman"/>
          <w:sz w:val="28"/>
          <w:szCs w:val="28"/>
          <w:shd w:fill="FFFFFF" w:val="clear"/>
          <w:lang w:val="en-US"/>
        </w:rPr>
        <w:t>I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этап (2015-2020 годы)</w:t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14625" w:type="dxa"/>
        <w:jc w:val="left"/>
        <w:tblInd w:w="-11" w:type="dxa"/>
        <w:tblLayout w:type="fixed"/>
        <w:tblCellMar>
          <w:top w:w="0" w:type="dxa"/>
          <w:left w:w="75" w:type="dxa"/>
          <w:bottom w:w="0" w:type="dxa"/>
          <w:right w:w="75" w:type="dxa"/>
        </w:tblCellMar>
        <w:tblLook w:val="0000"/>
      </w:tblPr>
      <w:tblGrid>
        <w:gridCol w:w="567"/>
        <w:gridCol w:w="4475"/>
        <w:gridCol w:w="913"/>
        <w:gridCol w:w="961"/>
        <w:gridCol w:w="1020"/>
        <w:gridCol w:w="1021"/>
        <w:gridCol w:w="1201"/>
        <w:gridCol w:w="1018"/>
        <w:gridCol w:w="1135"/>
        <w:gridCol w:w="1139"/>
        <w:gridCol w:w="1173"/>
      </w:tblGrid>
      <w:tr>
        <w:trPr>
          <w:tblHeader w:val="true"/>
          <w:trHeight w:val="333" w:hRule="atLeast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№№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4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целевого индикатора</w:t>
            </w:r>
          </w:p>
        </w:tc>
        <w:tc>
          <w:tcPr>
            <w:tcW w:w="9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Ед.измерения</w:t>
            </w:r>
          </w:p>
        </w:tc>
        <w:tc>
          <w:tcPr>
            <w:tcW w:w="635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Значение целевого индикатора по годам реализации программы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blHeader w:val="true"/>
          <w:trHeight w:val="333" w:hRule="atLeast"/>
        </w:trPr>
        <w:tc>
          <w:tcPr>
            <w:tcW w:w="567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475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1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2013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(отчет)</w:t>
            </w:r>
          </w:p>
        </w:tc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(отчет)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(отчет)</w:t>
            </w:r>
          </w:p>
        </w:tc>
        <w:tc>
          <w:tcPr>
            <w:tcW w:w="12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2016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(отчет)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2017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(отчет)</w:t>
            </w:r>
          </w:p>
        </w:tc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2018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(отчет)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2019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(отчет)</w:t>
            </w:r>
          </w:p>
        </w:tc>
        <w:tc>
          <w:tcPr>
            <w:tcW w:w="11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</w:t>
            </w: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отчет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)</w:t>
            </w:r>
          </w:p>
        </w:tc>
      </w:tr>
      <w:tr>
        <w:trPr>
          <w:tblHeader w:val="true"/>
          <w:trHeight w:val="229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   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2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0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5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11</w:t>
            </w:r>
          </w:p>
        </w:tc>
      </w:tr>
      <w:tr>
        <w:trPr>
          <w:trHeight w:val="614" w:hRule="atLeast"/>
        </w:trPr>
        <w:tc>
          <w:tcPr>
            <w:tcW w:w="14623" w:type="dxa"/>
            <w:gridSpan w:val="11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 1 "Организация бюджетного процесса в муниципальном образовании Северский район"</w:t>
            </w:r>
          </w:p>
        </w:tc>
      </w:tr>
      <w:tr>
        <w:trPr>
          <w:trHeight w:val="447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Объем просроченной кредиторской   задолженности бюджета муниципального района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2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</w:tr>
      <w:tr>
        <w:trPr>
          <w:trHeight w:val="447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Отношение размера дефицита бюджета к годовому объему доходов бюджета без учета утвержденного объема    безвозмездных поступлений   из  бюджетов вышестоящих уровней </w:t>
            </w:r>
            <w:hyperlink w:anchor="Par419">
              <w:r>
                <w:rPr>
                  <w:rFonts w:cs="Times New Roman" w:ascii="Times New Roman" w:hAnsi="Times New Roman"/>
                  <w:sz w:val="24"/>
                  <w:szCs w:val="24"/>
                </w:rPr>
                <w:t>&lt;*&gt;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>и  поступлений налоговых доходов по дополнительным нормативам отчислений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13,7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13,7</w:t>
            </w:r>
          </w:p>
        </w:tc>
        <w:tc>
          <w:tcPr>
            <w:tcW w:w="12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</w:tr>
      <w:tr>
        <w:trPr>
          <w:trHeight w:val="447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Удельный вес расходов бюджета,  формируемых в рамках программ, в общем объеме расходов бюджета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2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1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92,4</w:t>
            </w:r>
          </w:p>
        </w:tc>
      </w:tr>
      <w:tr>
        <w:trPr>
          <w:trHeight w:val="358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Соблюдение порядка и сроков       разработки проекта бюджета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муниципального района, установленных бюджетным законодательством 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нормативным правовым актом органа местного самоуправления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2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2184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Составление и утверждение сводной бюджетной росписи бюджета  муниципального района в сроки,   установленные бюджетным   законодательством Российской   Федерации и нормативным правовым  актом органа местного   самоуправления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9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 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2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 года</w:t>
            </w:r>
          </w:p>
        </w:tc>
      </w:tr>
      <w:tr>
        <w:trPr>
          <w:trHeight w:val="925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Доведение показателей сводной   бюджетной росписи и лимитов   бюджетных обязательств до главных распорядителей средств бюджета    муниципального района  в сроки,  установленные законодательством   Российской Федерации и нормативным правовым актом органа местного   самоуправления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9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  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 года</w:t>
            </w:r>
          </w:p>
        </w:tc>
        <w:tc>
          <w:tcPr>
            <w:tcW w:w="12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  года</w:t>
            </w:r>
          </w:p>
        </w:tc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</w:tr>
      <w:tr>
        <w:trPr>
          <w:trHeight w:val="1340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Составление и представление в Совет муниципального образования Северский район годового отчета об исполнении   местного бюджета в сроки, установленные бюджетным    законодательством Российской   Федерации и нормативным правовым актом органа местного     самоуправления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9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года</w:t>
            </w:r>
          </w:p>
        </w:tc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 года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 года</w:t>
            </w:r>
          </w:p>
        </w:tc>
        <w:tc>
          <w:tcPr>
            <w:tcW w:w="12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 года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года</w:t>
            </w:r>
          </w:p>
        </w:tc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года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 года</w:t>
            </w:r>
          </w:p>
        </w:tc>
        <w:tc>
          <w:tcPr>
            <w:tcW w:w="11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года</w:t>
            </w:r>
          </w:p>
        </w:tc>
      </w:tr>
      <w:tr>
        <w:trPr>
          <w:trHeight w:val="381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Проведение публичных слушаний по проекту бюджета муниципального района на очередной финансовый год и плановый период и по годовому отчету об исполнении местного бюджета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2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1854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Поддержание раздела Финансового управления на официальном сайте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Администрации муниципального образования Северский район 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информационно-телекоммуникационной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сети Интернет в актуальном   состоянии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2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20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5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570" w:hRule="atLeast"/>
        </w:trPr>
        <w:tc>
          <w:tcPr>
            <w:tcW w:w="14623" w:type="dxa"/>
            <w:gridSpan w:val="11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2 "Обеспечение реализации муниципальной программы"</w:t>
            </w:r>
          </w:p>
        </w:tc>
      </w:tr>
      <w:tr>
        <w:trPr>
          <w:trHeight w:val="1340" w:hRule="atLeast"/>
        </w:trPr>
        <w:tc>
          <w:tcPr>
            <w:tcW w:w="567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Наличие действующей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интегрированной информационной    системы управления муниципальными финансами, в рамках которой    обеспечивается взаимосвязь всех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инструментов стратегического и   бюджетного планирования, единство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процессов составления и исполнения местного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бюджета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1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2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201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5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7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431" w:hRule="atLeast"/>
        </w:trPr>
        <w:tc>
          <w:tcPr>
            <w:tcW w:w="14623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3 «Управление муниципальным долгом»</w:t>
            </w:r>
          </w:p>
        </w:tc>
      </w:tr>
      <w:tr>
        <w:trPr>
          <w:trHeight w:val="755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Отношение объема муниципального   долга к годовому объему доходов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бюджета без учета утвержденного   объема безвозмездных поступлений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из бюджетов вышестоящих уровней   и  поступлений налоговых доходов по дополнительным нормативам отчислений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24,1</w:t>
            </w:r>
          </w:p>
        </w:tc>
        <w:tc>
          <w:tcPr>
            <w:tcW w:w="102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40,3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10,7</w:t>
            </w:r>
          </w:p>
        </w:tc>
        <w:tc>
          <w:tcPr>
            <w:tcW w:w="120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10,8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11,4</w:t>
            </w:r>
          </w:p>
        </w:tc>
        <w:tc>
          <w:tcPr>
            <w:tcW w:w="113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10,1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6,9</w:t>
            </w:r>
          </w:p>
        </w:tc>
        <w:tc>
          <w:tcPr>
            <w:tcW w:w="1173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7,2</w:t>
            </w:r>
          </w:p>
        </w:tc>
      </w:tr>
      <w:tr>
        <w:trPr>
          <w:trHeight w:val="134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Доля расходов на обслуживание     муниципального долга в общем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объеме расходов бюджета (за   исключением расходов,   осуществляемых за счет субвенций  из бюджетов вышестоящих уровней)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 15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    1,5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   3,0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15,0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7,0</w:t>
            </w:r>
          </w:p>
        </w:tc>
      </w:tr>
      <w:tr>
        <w:trPr>
          <w:trHeight w:val="100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Объем просроченной задолженности  по долговым обязательствам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муниципального района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</w:tr>
      <w:tr>
        <w:trPr>
          <w:trHeight w:val="581" w:hRule="atLeast"/>
        </w:trPr>
        <w:tc>
          <w:tcPr>
            <w:tcW w:w="14623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4 «Предоставление межбюджетных трансфертов»</w:t>
            </w:r>
          </w:p>
        </w:tc>
      </w:tr>
      <w:tr>
        <w:trPr>
          <w:trHeight w:val="754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Минимально гарантированный уровень расчётной бюджетной обеспеченности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02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20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3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73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67</w:t>
            </w:r>
          </w:p>
        </w:tc>
      </w:tr>
      <w:tr>
        <w:trPr>
          <w:trHeight w:val="69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Содействие сбалансированности бюджетов поселений Северского района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>
          <w:trHeight w:val="90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Объем иных межбюджетных трансфертов  для финансового обеспечения переданных полномочий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450" w:hRule="atLeast"/>
        </w:trPr>
        <w:tc>
          <w:tcPr>
            <w:tcW w:w="14623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 5 «Резервный фонд администрации муниципального образования Северский район»</w:t>
            </w:r>
          </w:p>
        </w:tc>
      </w:tr>
      <w:tr>
        <w:trPr>
          <w:trHeight w:val="855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Отношение резервного  фонда администрации к общему объему расходов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 (не более)</w:t>
            </w:r>
          </w:p>
        </w:tc>
        <w:tc>
          <w:tcPr>
            <w:tcW w:w="96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0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73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</w:tr>
    </w:tbl>
    <w:p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Таблица 2</w:t>
      </w:r>
    </w:p>
    <w:p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Сведения</w:t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 показателях (индикаторах) муниципальной программы</w:t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муниципального образования Северский район</w:t>
      </w:r>
    </w:p>
    <w:p>
      <w:pPr>
        <w:pStyle w:val="ConsPlusNormal"/>
        <w:jc w:val="center"/>
        <w:rPr>
          <w:shd w:fill="FFFFFF" w:val="clear"/>
        </w:rPr>
      </w:pPr>
      <w:r>
        <w:rPr>
          <w:rFonts w:cs="Times New Roman" w:ascii="Times New Roman" w:hAnsi="Times New Roman"/>
          <w:sz w:val="28"/>
          <w:szCs w:val="28"/>
        </w:rPr>
        <w:t>"Управление муниципальными финансам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и"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en-US"/>
        </w:rPr>
        <w:t>II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этап (20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21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-2025 годы)</w:t>
      </w:r>
    </w:p>
    <w:p>
      <w:pPr>
        <w:pStyle w:val="ConsPlusNormal"/>
        <w:jc w:val="center"/>
        <w:rPr>
          <w:shd w:fill="FFFFFF" w:val="clear"/>
        </w:rPr>
      </w:pPr>
      <w:r>
        <w:rPr>
          <w:shd w:fill="FFFFFF" w:val="clear"/>
        </w:rPr>
      </w:r>
    </w:p>
    <w:tbl>
      <w:tblPr>
        <w:tblW w:w="14400" w:type="dxa"/>
        <w:jc w:val="left"/>
        <w:tblInd w:w="44" w:type="dxa"/>
        <w:tblLayout w:type="fixed"/>
        <w:tblCellMar>
          <w:top w:w="0" w:type="dxa"/>
          <w:left w:w="75" w:type="dxa"/>
          <w:bottom w:w="0" w:type="dxa"/>
          <w:right w:w="75" w:type="dxa"/>
        </w:tblCellMar>
        <w:tblLook w:val="0000"/>
      </w:tblPr>
      <w:tblGrid>
        <w:gridCol w:w="509"/>
        <w:gridCol w:w="6467"/>
        <w:gridCol w:w="1125"/>
        <w:gridCol w:w="1260"/>
        <w:gridCol w:w="1248"/>
        <w:gridCol w:w="1314"/>
        <w:gridCol w:w="1304"/>
        <w:gridCol w:w="1171"/>
      </w:tblGrid>
      <w:tr>
        <w:trPr>
          <w:tblHeader w:val="true"/>
          <w:trHeight w:val="333" w:hRule="atLeast"/>
        </w:trPr>
        <w:tc>
          <w:tcPr>
            <w:tcW w:w="5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№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п/п</w:t>
            </w:r>
          </w:p>
        </w:tc>
        <w:tc>
          <w:tcPr>
            <w:tcW w:w="64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Наименование целевого индикатора</w:t>
            </w:r>
          </w:p>
        </w:tc>
        <w:tc>
          <w:tcPr>
            <w:tcW w:w="11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Ед.измерения</w:t>
            </w:r>
          </w:p>
        </w:tc>
        <w:tc>
          <w:tcPr>
            <w:tcW w:w="629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Значение целевого индикатора по годам реализации программы</w:t>
            </w:r>
          </w:p>
        </w:tc>
      </w:tr>
      <w:tr>
        <w:trPr>
          <w:tblHeader w:val="true"/>
          <w:trHeight w:val="333" w:hRule="atLeast"/>
        </w:trPr>
        <w:tc>
          <w:tcPr>
            <w:tcW w:w="509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6467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1125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2021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(</w:t>
            </w: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оценка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)</w:t>
            </w:r>
          </w:p>
        </w:tc>
        <w:tc>
          <w:tcPr>
            <w:tcW w:w="12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2022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(</w:t>
            </w: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план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)</w:t>
            </w:r>
          </w:p>
        </w:tc>
        <w:tc>
          <w:tcPr>
            <w:tcW w:w="13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2023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(</w:t>
            </w: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план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)</w:t>
            </w:r>
          </w:p>
        </w:tc>
        <w:tc>
          <w:tcPr>
            <w:tcW w:w="13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(</w:t>
            </w: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план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)</w:t>
            </w:r>
          </w:p>
        </w:tc>
        <w:tc>
          <w:tcPr>
            <w:tcW w:w="11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(</w:t>
            </w: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план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)</w:t>
            </w:r>
          </w:p>
        </w:tc>
      </w:tr>
      <w:tr>
        <w:trPr>
          <w:tblHeader w:val="true"/>
          <w:trHeight w:val="229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     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4</w:t>
            </w:r>
          </w:p>
        </w:tc>
        <w:tc>
          <w:tcPr>
            <w:tcW w:w="12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5</w:t>
            </w:r>
          </w:p>
        </w:tc>
        <w:tc>
          <w:tcPr>
            <w:tcW w:w="13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6</w:t>
            </w:r>
          </w:p>
        </w:tc>
        <w:tc>
          <w:tcPr>
            <w:tcW w:w="13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7</w:t>
            </w:r>
          </w:p>
        </w:tc>
        <w:tc>
          <w:tcPr>
            <w:tcW w:w="11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8</w:t>
            </w:r>
          </w:p>
        </w:tc>
      </w:tr>
      <w:tr>
        <w:trPr>
          <w:trHeight w:val="134" w:hRule="atLeast"/>
        </w:trPr>
        <w:tc>
          <w:tcPr>
            <w:tcW w:w="14398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 1 "Организация бюджетного процесса в муниципальном образовании Северский район"</w:t>
            </w:r>
          </w:p>
        </w:tc>
      </w:tr>
      <w:tr>
        <w:trPr>
          <w:trHeight w:val="447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Объем просроченной кредиторской   задолженности бюджета муниципального района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2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1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</w:tr>
      <w:tr>
        <w:trPr>
          <w:trHeight w:val="447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Отношение размера дефицита бюджета к годовому объему доходов бюджета без учета утвержденного объема    безвозмездных поступлений   из  бюджетов вышестоящих уровней </w:t>
            </w:r>
            <w:hyperlink w:anchor="Par419">
              <w:r>
                <w:rPr>
                  <w:rFonts w:cs="Times New Roman" w:ascii="Times New Roman" w:hAnsi="Times New Roman"/>
                  <w:sz w:val="24"/>
                  <w:szCs w:val="24"/>
                  <w:shd w:fill="FFFFFF" w:val="clear"/>
                </w:rPr>
                <w:t>&lt;*&gt;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и  поступлений налоговых доходов по дополнительным нормативам отчислений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 (не более)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2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3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3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1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</w:tr>
      <w:tr>
        <w:trPr>
          <w:trHeight w:val="447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Удельный вес расходов бюджета,  формируемых в рамках программ, в общем объеме расходов бюджета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91,0</w:t>
            </w:r>
          </w:p>
        </w:tc>
        <w:tc>
          <w:tcPr>
            <w:tcW w:w="12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93,2</w:t>
            </w:r>
          </w:p>
        </w:tc>
        <w:tc>
          <w:tcPr>
            <w:tcW w:w="13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91,1</w:t>
            </w:r>
          </w:p>
        </w:tc>
        <w:tc>
          <w:tcPr>
            <w:tcW w:w="13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90,0</w:t>
            </w:r>
          </w:p>
        </w:tc>
        <w:tc>
          <w:tcPr>
            <w:tcW w:w="11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90,0</w:t>
            </w:r>
          </w:p>
        </w:tc>
      </w:tr>
      <w:tr>
        <w:trPr>
          <w:trHeight w:val="1515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4.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Соблюдение порядка и сроков       разработки проекта бюджета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муниципального района, установленных бюджетным законодательством 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нормативным правовым актом органа местного самоуправления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2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1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</w:tr>
      <w:tr>
        <w:trPr>
          <w:trHeight w:val="1699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5.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Составление и утверждение сводной бюджетной росписи бюджета  муниципального района в сроки,   установленные бюджетным   законодательством Российской   Федерации и нормативным правовым  актом органа местного   самоуправления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срок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 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2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3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3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1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</w:tr>
      <w:tr>
        <w:trPr>
          <w:trHeight w:val="925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6.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Доведение показателей сводной   бюджетной росписи и лимитов   бюджетных обязательств до главных распорядителей средств бюджета    муниципального района  в сроки,  установленные законодательством   Российской Федерации и нормативным правовым актом органа местного   самоуправления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срок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  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2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3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 года</w:t>
            </w:r>
          </w:p>
        </w:tc>
        <w:tc>
          <w:tcPr>
            <w:tcW w:w="13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1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</w:tr>
      <w:tr>
        <w:trPr>
          <w:trHeight w:val="1340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7.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Составление и представление в Совет муниципального образования Северский район годового отчета об исполнении   местного бюджета в сроки, установленные бюджетным    законодательством Российской   Федерации и нормативным правовым актом органа местного     самоуправления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срок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года</w:t>
            </w:r>
          </w:p>
        </w:tc>
        <w:tc>
          <w:tcPr>
            <w:tcW w:w="12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  года</w:t>
            </w:r>
          </w:p>
        </w:tc>
        <w:tc>
          <w:tcPr>
            <w:tcW w:w="13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  года</w:t>
            </w:r>
          </w:p>
        </w:tc>
        <w:tc>
          <w:tcPr>
            <w:tcW w:w="13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  года</w:t>
            </w:r>
          </w:p>
        </w:tc>
        <w:tc>
          <w:tcPr>
            <w:tcW w:w="11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  года</w:t>
            </w:r>
          </w:p>
        </w:tc>
      </w:tr>
      <w:tr>
        <w:trPr>
          <w:trHeight w:val="381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8.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Проведение публичных слушаний по проекту бюджета муниципального района на очередной финансовый год и плановый период и по годовому отчету об исполнении местного бюджета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2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1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</w:tr>
      <w:tr>
        <w:trPr>
          <w:trHeight w:val="1745" w:hRule="atLeast"/>
        </w:trPr>
        <w:tc>
          <w:tcPr>
            <w:tcW w:w="50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9.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Поддержание раздела Финансового управления на официальном сайте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Администрации муниципального образования Северский район в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информационно-телекоммуникационной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сети Интернет в актуальном   состоянии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248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1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30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1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</w:tr>
      <w:tr>
        <w:trPr>
          <w:trHeight w:val="385" w:hRule="atLeast"/>
        </w:trPr>
        <w:tc>
          <w:tcPr>
            <w:tcW w:w="14398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outlineLvl w:val="2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2 "Обеспечение реализации муниципальной программы"</w:t>
            </w:r>
          </w:p>
        </w:tc>
      </w:tr>
      <w:tr>
        <w:trPr>
          <w:trHeight w:val="1340" w:hRule="atLeast"/>
        </w:trPr>
        <w:tc>
          <w:tcPr>
            <w:tcW w:w="50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Наличие действующей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интегрированной информационной    системы управления муниципальными финансами, в рамках которой    обеспечивается взаимосвязь всех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инструментов стратегического и   бюджетного планирования, единство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процессов составления и исполнения местного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бюджета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24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1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0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17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</w:tr>
      <w:tr>
        <w:trPr>
          <w:trHeight w:val="322" w:hRule="atLeast"/>
        </w:trPr>
        <w:tc>
          <w:tcPr>
            <w:tcW w:w="1439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3 «Управление муниципальным долгом»</w:t>
            </w:r>
          </w:p>
        </w:tc>
      </w:tr>
      <w:tr>
        <w:trPr>
          <w:trHeight w:val="755" w:hRule="atLeast"/>
        </w:trPr>
        <w:tc>
          <w:tcPr>
            <w:tcW w:w="509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11.</w:t>
            </w:r>
          </w:p>
        </w:tc>
        <w:tc>
          <w:tcPr>
            <w:tcW w:w="646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Отношение объема муниципального   долга к годовому объему доходов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бюджета без учета утвержденного   объема безвозмездных поступлений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из бюджетов </w:t>
            </w: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других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уровней   и  поступлений налоговых доходов по дополнительным нормативам отчислений</w:t>
            </w:r>
          </w:p>
        </w:tc>
        <w:tc>
          <w:tcPr>
            <w:tcW w:w="112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 (не более)</w:t>
            </w:r>
          </w:p>
        </w:tc>
        <w:tc>
          <w:tcPr>
            <w:tcW w:w="126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4,7</w:t>
            </w:r>
          </w:p>
        </w:tc>
        <w:tc>
          <w:tcPr>
            <w:tcW w:w="124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15</w:t>
            </w:r>
          </w:p>
        </w:tc>
        <w:tc>
          <w:tcPr>
            <w:tcW w:w="131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15</w:t>
            </w:r>
          </w:p>
        </w:tc>
        <w:tc>
          <w:tcPr>
            <w:tcW w:w="130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15</w:t>
            </w:r>
          </w:p>
        </w:tc>
        <w:tc>
          <w:tcPr>
            <w:tcW w:w="117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15</w:t>
            </w:r>
          </w:p>
        </w:tc>
      </w:tr>
      <w:tr>
        <w:trPr>
          <w:trHeight w:val="1340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12.</w:t>
            </w:r>
          </w:p>
        </w:tc>
        <w:tc>
          <w:tcPr>
            <w:tcW w:w="6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Доля расходов на обслуживание     муниципального долга в общем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объеме расходов бюджета (за   исключением расходов,   осуществляемых за счет субвенций  из бюджетов вышестоящих уровней)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 (не более)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0,15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15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15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15</w:t>
            </w:r>
          </w:p>
        </w:tc>
      </w:tr>
      <w:tr>
        <w:trPr>
          <w:trHeight w:val="980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13.</w:t>
            </w:r>
          </w:p>
        </w:tc>
        <w:tc>
          <w:tcPr>
            <w:tcW w:w="646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Объем просроченной задолженности  по долговым обязательствам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муниципального района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</w:tr>
      <w:tr>
        <w:trPr>
          <w:trHeight w:val="415" w:hRule="atLeast"/>
        </w:trPr>
        <w:tc>
          <w:tcPr>
            <w:tcW w:w="14398" w:type="dxa"/>
            <w:gridSpan w:val="8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4 «Предоставление межбюджетных трансфертов»</w:t>
            </w:r>
          </w:p>
        </w:tc>
      </w:tr>
      <w:tr>
        <w:trPr>
          <w:trHeight w:val="570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14.</w:t>
            </w:r>
          </w:p>
        </w:tc>
        <w:tc>
          <w:tcPr>
            <w:tcW w:w="646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Минимально гарантированный уровень расчётной бюджетной обеспеченности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</w:t>
            </w: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69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62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56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59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59</w:t>
            </w:r>
          </w:p>
        </w:tc>
      </w:tr>
      <w:tr>
        <w:trPr>
          <w:trHeight w:val="570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15.</w:t>
            </w:r>
          </w:p>
        </w:tc>
        <w:tc>
          <w:tcPr>
            <w:tcW w:w="646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Содействие сбалансированности бюджетов поселений Северского района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</w:t>
            </w: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-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-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-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-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-</w:t>
            </w:r>
          </w:p>
        </w:tc>
      </w:tr>
      <w:tr>
        <w:trPr>
          <w:trHeight w:val="555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16.</w:t>
            </w:r>
          </w:p>
        </w:tc>
        <w:tc>
          <w:tcPr>
            <w:tcW w:w="646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Объем иных межбюджетных трансфертов  для финансового обеспечения переданных полномочий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</w:t>
            </w: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</w:tr>
      <w:tr>
        <w:trPr>
          <w:trHeight w:val="398" w:hRule="atLeast"/>
        </w:trPr>
        <w:tc>
          <w:tcPr>
            <w:tcW w:w="14398" w:type="dxa"/>
            <w:gridSpan w:val="8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 5 «Резервный фонд администрации муниципального образования Северский район»</w:t>
            </w:r>
          </w:p>
        </w:tc>
      </w:tr>
      <w:tr>
        <w:trPr>
          <w:trHeight w:val="570" w:hRule="atLeast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17.</w:t>
            </w:r>
          </w:p>
        </w:tc>
        <w:tc>
          <w:tcPr>
            <w:tcW w:w="646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Отношение резервного  фонда администрации к общему объему расходов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 (не более)</w:t>
            </w:r>
          </w:p>
        </w:tc>
        <w:tc>
          <w:tcPr>
            <w:tcW w:w="12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</w:tr>
    </w:tbl>
    <w:p>
      <w:pPr>
        <w:pStyle w:val="ConsPlusNormal"/>
        <w:ind w:firstLine="540"/>
        <w:rPr>
          <w:rFonts w:ascii="Times New Roman" w:hAnsi="Times New Roman" w:cs="Times New Roman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--------------------------------</w:t>
      </w:r>
    </w:p>
    <w:p>
      <w:pPr>
        <w:pStyle w:val="ConsPlusNormal"/>
        <w:ind w:firstLine="540"/>
        <w:jc w:val="both"/>
        <w:rPr/>
      </w:pPr>
      <w:bookmarkStart w:id="1" w:name="Par419"/>
      <w:bookmarkEnd w:id="1"/>
      <w:r>
        <w:rPr>
          <w:rFonts w:cs="Times New Roman" w:ascii="Times New Roman" w:hAnsi="Times New Roman"/>
          <w:color w:val="000000"/>
          <w:sz w:val="24"/>
          <w:szCs w:val="24"/>
        </w:rPr>
        <w:t xml:space="preserve">&lt;*&gt; В соответствии со </w:t>
      </w:r>
      <w:hyperlink r:id="rId2">
        <w:r>
          <w:rPr>
            <w:rFonts w:cs="Times New Roman" w:ascii="Times New Roman" w:hAnsi="Times New Roman"/>
            <w:color w:val="000000"/>
            <w:sz w:val="24"/>
            <w:szCs w:val="24"/>
          </w:rPr>
          <w:t>статьей 92.1</w:t>
        </w:r>
      </w:hyperlink>
      <w:r>
        <w:rPr>
          <w:rFonts w:cs="Times New Roman" w:ascii="Times New Roman" w:hAnsi="Times New Roman"/>
          <w:color w:val="000000"/>
          <w:sz w:val="24"/>
          <w:szCs w:val="24"/>
        </w:rPr>
        <w:t xml:space="preserve"> Бюджетного кодекса Российской Федерации до 1 января 2017 года в случае утверждения решением Совета муниципального образования Северский район о бюджете муниципального района в  составе источников финансирования дефицита бюджета разницы между полученными и погашенными муниципальным образованием бюджетными кредитами, предоставленными бюджету  муниципального района другими бюджетами бюджетной системы Российской</w:t>
      </w:r>
      <w:r>
        <w:rPr>
          <w:rFonts w:cs="Times New Roman" w:ascii="Times New Roman" w:hAnsi="Times New Roman"/>
          <w:sz w:val="24"/>
          <w:szCs w:val="24"/>
        </w:rPr>
        <w:t xml:space="preserve"> Федерации, дефицит бюджета может превысить предельный размер (10 процентов) в пределах указанной разницы.</w:t>
      </w:r>
    </w:p>
    <w:p>
      <w:pPr>
        <w:pStyle w:val="ConsPlusNormal"/>
        <w:ind w:firstLine="540"/>
        <w:jc w:val="right"/>
        <w:rPr/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     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Заместитель главы администрации</w:t>
      </w:r>
    </w:p>
    <w:p>
      <w:pPr>
        <w:pStyle w:val="ConsPlusNormal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(начальник финансового управления)   </w:t>
        <w:tab/>
        <w:tab/>
        <w:tab/>
        <w:tab/>
        <w:tab/>
        <w:tab/>
        <w:tab/>
        <w:t xml:space="preserve">                                                   К.В.Леуцкая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outlineLvl w:val="0"/>
        <w:rPr/>
      </w:pPr>
      <w:r>
        <w:rPr/>
      </w:r>
    </w:p>
    <w:sectPr>
      <w:type w:val="nextPage"/>
      <w:pgSz w:orient="landscape" w:w="16838" w:h="11906"/>
      <w:pgMar w:left="1134" w:right="1134" w:header="0" w:top="1701" w:footer="0" w:bottom="567" w:gutter="0"/>
      <w:pgNumType w:fmt="decimal"/>
      <w:formProt w:val="false"/>
      <w:textDirection w:val="lrTb"/>
      <w:docGrid w:type="default" w:linePitch="299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egoe UI" w:cs="Tahoma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61503"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Segoe UI" w:cs="Tahoma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qFormat/>
    <w:rsid w:val="00261503"/>
    <w:rPr/>
  </w:style>
  <w:style w:type="character" w:styleId="Style15" w:customStyle="1">
    <w:name w:val="Нижний колонтитул Знак"/>
    <w:basedOn w:val="DefaultParagraphFont"/>
    <w:qFormat/>
    <w:rsid w:val="00261503"/>
    <w:rPr/>
  </w:style>
  <w:style w:type="character" w:styleId="Style16" w:customStyle="1">
    <w:name w:val="Схема документа Знак"/>
    <w:basedOn w:val="DefaultParagraphFont"/>
    <w:qFormat/>
    <w:rsid w:val="00261503"/>
    <w:rPr>
      <w:rFonts w:ascii="Tahoma" w:hAnsi="Tahoma"/>
      <w:sz w:val="16"/>
      <w:szCs w:val="16"/>
    </w:rPr>
  </w:style>
  <w:style w:type="character" w:styleId="Style17" w:customStyle="1">
    <w:name w:val="Текст выноски Знак"/>
    <w:basedOn w:val="DefaultParagraphFont"/>
    <w:qFormat/>
    <w:rsid w:val="00261503"/>
    <w:rPr>
      <w:rFonts w:ascii="Segoe UI" w:hAnsi="Segoe UI" w:cs="Segoe UI"/>
      <w:sz w:val="18"/>
      <w:szCs w:val="18"/>
    </w:rPr>
  </w:style>
  <w:style w:type="character" w:styleId="Style18" w:customStyle="1">
    <w:name w:val="Интернет-ссылка"/>
    <w:rsid w:val="00261503"/>
    <w:rPr>
      <w:color w:val="000080"/>
      <w:u w:val="single"/>
    </w:rPr>
  </w:style>
  <w:style w:type="paragraph" w:styleId="Style19" w:customStyle="1">
    <w:name w:val="Заголовок"/>
    <w:basedOn w:val="Normal"/>
    <w:next w:val="Style20"/>
    <w:qFormat/>
    <w:rsid w:val="00261503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0">
    <w:name w:val="Body Text"/>
    <w:basedOn w:val="Normal"/>
    <w:rsid w:val="00261503"/>
    <w:pPr>
      <w:spacing w:before="0" w:after="140"/>
    </w:pPr>
    <w:rPr/>
  </w:style>
  <w:style w:type="paragraph" w:styleId="Style21">
    <w:name w:val="List"/>
    <w:basedOn w:val="Style20"/>
    <w:rsid w:val="00261503"/>
    <w:pPr/>
    <w:rPr>
      <w:rFonts w:cs="Mangal"/>
    </w:rPr>
  </w:style>
  <w:style w:type="paragraph" w:styleId="Style22" w:customStyle="1">
    <w:name w:val="Caption"/>
    <w:basedOn w:val="Normal"/>
    <w:qFormat/>
    <w:rsid w:val="0026150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261503"/>
    <w:pPr>
      <w:suppressLineNumbers/>
    </w:pPr>
    <w:rPr>
      <w:rFonts w:cs="Mangal"/>
    </w:rPr>
  </w:style>
  <w:style w:type="paragraph" w:styleId="ConsPlusNormal" w:customStyle="1">
    <w:name w:val="ConsPlusNormal"/>
    <w:qFormat/>
    <w:rsid w:val="00261503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auto"/>
      <w:kern w:val="0"/>
      <w:sz w:val="20"/>
      <w:szCs w:val="20"/>
      <w:lang w:val="ru-RU" w:eastAsia="en-US" w:bidi="ar-SA"/>
    </w:rPr>
  </w:style>
  <w:style w:type="paragraph" w:styleId="NoSpacing">
    <w:name w:val="No Spacing"/>
    <w:qFormat/>
    <w:rsid w:val="00261503"/>
    <w:pPr>
      <w:widowControl/>
      <w:suppressAutoHyphens w:val="true"/>
      <w:bidi w:val="0"/>
      <w:spacing w:before="0" w:after="0"/>
      <w:jc w:val="left"/>
    </w:pPr>
    <w:rPr>
      <w:rFonts w:ascii="Calibri" w:hAnsi="Calibri" w:eastAsia="Segoe UI" w:cs="Tahoma"/>
      <w:color w:val="auto"/>
      <w:kern w:val="0"/>
      <w:sz w:val="22"/>
      <w:szCs w:val="22"/>
      <w:lang w:val="ru-RU" w:eastAsia="ru-RU" w:bidi="ar-SA"/>
    </w:rPr>
  </w:style>
  <w:style w:type="paragraph" w:styleId="ConsPlusCell" w:customStyle="1">
    <w:name w:val="ConsPlusCell"/>
    <w:qFormat/>
    <w:rsid w:val="00261503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Style24" w:customStyle="1">
    <w:name w:val="Верхний и нижний колонтитулы"/>
    <w:basedOn w:val="Normal"/>
    <w:qFormat/>
    <w:rsid w:val="00261503"/>
    <w:pPr/>
    <w:rPr/>
  </w:style>
  <w:style w:type="paragraph" w:styleId="Style25" w:customStyle="1">
    <w:name w:val="Header"/>
    <w:basedOn w:val="Normal"/>
    <w:rsid w:val="0026150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6" w:customStyle="1">
    <w:name w:val="Footer"/>
    <w:basedOn w:val="Normal"/>
    <w:rsid w:val="0026150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DocumentMap">
    <w:name w:val="Document Map"/>
    <w:basedOn w:val="Normal"/>
    <w:qFormat/>
    <w:rsid w:val="00261503"/>
    <w:pPr>
      <w:spacing w:lineRule="auto" w:line="240" w:before="0" w:after="0"/>
    </w:pPr>
    <w:rPr>
      <w:rFonts w:ascii="Tahoma" w:hAnsi="Tahoma"/>
      <w:sz w:val="16"/>
      <w:szCs w:val="16"/>
    </w:rPr>
  </w:style>
  <w:style w:type="paragraph" w:styleId="BalloonText">
    <w:name w:val="Balloon Text"/>
    <w:basedOn w:val="Normal"/>
    <w:qFormat/>
    <w:rsid w:val="00261503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7" w:customStyle="1">
    <w:name w:val="Содержимое таблицы"/>
    <w:basedOn w:val="Normal"/>
    <w:qFormat/>
    <w:rsid w:val="00261503"/>
    <w:pPr>
      <w:widowControl w:val="false"/>
      <w:suppressLineNumbers/>
    </w:pPr>
    <w:rPr/>
  </w:style>
  <w:style w:type="paragraph" w:styleId="Style28" w:customStyle="1">
    <w:name w:val="Заголовок таблицы"/>
    <w:basedOn w:val="Style27"/>
    <w:qFormat/>
    <w:rsid w:val="00261503"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A08CC0658C145BBFFFD1885DAE956401F1F9F62CA37B6CF2F94B89E88674F446F91560823427jEN5I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1642</TotalTime>
  <Application>LibreOffice/7.0.2.2$Windows_X86_64 LibreOffice_project/8349ace3c3162073abd90d81fd06dcfb6b36b994</Application>
  <Pages>8</Pages>
  <Words>1353</Words>
  <Characters>8763</Characters>
  <CharactersWithSpaces>10076</CharactersWithSpaces>
  <Paragraphs>522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2014-05-19T12:16:00Z</dcterms:created>
  <dc:creator>SarkisovaMG</dc:creator>
  <dc:description/>
  <dc:language>ru-RU</dc:language>
  <cp:lastModifiedBy/>
  <cp:lastPrinted>2021-12-02T16:35:45Z</cp:lastPrinted>
  <dcterms:modified xsi:type="dcterms:W3CDTF">2021-12-03T09:35:51Z</dcterms:modified>
  <cp:revision>97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