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Эксперты Краевой Кадастровой палаты разъяснили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нюансы установления сервитута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такое сервитут, как его зарегистрировать, а главное зачем. На вопросы, касающиеся установления сервитут отвечают специалисты Кадастровой палаты по Краснодарскому краю.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Смоделируем ситуацию: вы приобрели земельный участок и уже построили дом. Для комфортного проживания нужно еще провести электричество и водопровод. Здесь вы столкнулись с неожиданной проблемой – провести коммуникации мешает соседний участок. Как быть в такой ситуации? Поможет сервитут!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такое сервитут?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Сервитут – это право лица (лиц) на ограниченное пользование чужим земельным участком. Сервитут выступает в качестве обременения земли, однако это не лишает собственника участка прав владения, пользования и распоряжения.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Существует два вида сервитута:</w:t>
      </w:r>
    </w:p>
    <w:p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Публичный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в интересах государства, муниципалитета или местного населения. Например, если попасть к водоему общественного пользования и его береговой полосе, к роднику или иному социально значимому объекту можно только через ваш участок, он может быть обременен правом прохода или проезда к этим объектам.</w:t>
      </w:r>
    </w:p>
    <w:p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Частный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в интересах конкретных лиц. Например, если проход на ваш участок возможен только через участок соседа. Или,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если для подведения коммуникаций к вашему участку, необходимо перекопать соседний участок, с соседом нужно заключить соглашение о частном сервитуте.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установить сервитут?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Частный сервитут</w:t>
      </w:r>
      <w:r>
        <w:rPr>
          <w:rFonts w:ascii="Times New Roman" w:hAnsi="Times New Roman" w:cs="Times New Roman"/>
          <w:bCs/>
          <w:sz w:val="28"/>
        </w:rPr>
        <w:t xml:space="preserve"> может быть установлен по взаимному соглашению сторон. Если одна из сторон отказывается заключать соглашение, можно разобраться в судебном порядке.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Правообладатель земельного участка, на котором установлен частный сервитут, может потребовать плату от лица, в интересах которого установлен сервитут. Условия и размер платы могут быть установлены по соглашению сторон, либо в судебном порядке. Также возможно установление безвозмездного сервитута.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Частный сервитут необходимо зарегистрировать и внести сведения в ЕГРН. Для этого участникам соглашения (или одному из них), необходимо обратиться в МФЦ с соглашением об установлении частного сервитута, либо решением суда. Если сервитут устанавливается на часть участка, необходимо также приложить межевой план. Тогда будет проведена процедура одновременной регистрации и кадастрового учета части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Публичный сервитут</w:t>
      </w:r>
      <w:r>
        <w:rPr>
          <w:rFonts w:ascii="Times New Roman" w:hAnsi="Times New Roman" w:cs="Times New Roman"/>
          <w:bCs/>
          <w:sz w:val="28"/>
        </w:rPr>
        <w:t xml:space="preserve"> устанавливается по решению органов государственной или муниципальной власти, может быть установлен на часть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 результате установления публичного сервитута у собственника возникают затруднения в использовании участка, он вправе требовать соразмерную плату. Однако предусмотрены случаи, когда публичный сервитут может быть только безвозмездным (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пункт 6 статьи 39.46</w:t>
        </w:r>
      </w:hyperlink>
      <w:r>
        <w:rPr>
          <w:rFonts w:ascii="Times New Roman" w:hAnsi="Times New Roman" w:cs="Times New Roman"/>
          <w:bCs/>
          <w:sz w:val="28"/>
        </w:rPr>
        <w:t xml:space="preserve"> ЗК РФ)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прекратить сервитут?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Сервитут прекращается по истечению срока, на который он был установлен.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Возможно прекращение по требованию одной из сторон, если сервитут мешает использовать участок по целевому назначению, либо если отпали основания установления сервитута.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Частный сервитут можно прекратить по соглашению сторон. Публичный сервитут прекращается посредством принятия акта уполномоченным органом. В случае невозможности достигнуть согласия сторон следует обращаться в суд.</w:t>
      </w:r>
    </w:p>
    <w:p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0" w:line="360" w:lineRule="auto"/>
        <w:jc w:val="both"/>
      </w:pPr>
    </w:p>
    <w:sectPr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2253D1"/>
    <w:multiLevelType w:val="hybridMultilevel"/>
    <w:tmpl w:val="6FDA9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C8EBE8-FD36-409F-9E6E-8A6F7C7F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7e22e922d99be1b46f2479b9340e98aa641f6a2e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66</cp:revision>
  <dcterms:created xsi:type="dcterms:W3CDTF">2021-07-30T12:29:00Z</dcterms:created>
  <dcterms:modified xsi:type="dcterms:W3CDTF">2021-09-27T08:07:00Z</dcterms:modified>
</cp:coreProperties>
</file>